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9E" w:rsidRPr="001F640D" w:rsidRDefault="00AC5A9E" w:rsidP="00AC5A9E">
      <w:pPr>
        <w:tabs>
          <w:tab w:val="left" w:pos="6946"/>
        </w:tabs>
        <w:rPr>
          <w:rFonts w:ascii="Arial" w:hAnsi="Arial" w:cs="Arial"/>
          <w:highlight w:val="yellow"/>
        </w:rPr>
      </w:pPr>
      <w:r w:rsidRPr="001F640D">
        <w:rPr>
          <w:rFonts w:ascii="Arial" w:hAnsi="Arial" w:cs="Arial"/>
          <w:highlight w:val="yellow"/>
        </w:rPr>
        <w:t>Name, Nachname</w:t>
      </w:r>
      <w:r w:rsidRPr="001F640D">
        <w:rPr>
          <w:rFonts w:ascii="Arial" w:hAnsi="Arial" w:cs="Arial"/>
        </w:rPr>
        <w:tab/>
      </w:r>
      <w:r>
        <w:rPr>
          <w:rFonts w:ascii="Arial" w:hAnsi="Arial" w:cs="Arial"/>
          <w:highlight w:val="yellow"/>
        </w:rPr>
        <w:t>Ort, Datum</w:t>
      </w:r>
      <w:r w:rsidRPr="001F640D">
        <w:rPr>
          <w:rFonts w:ascii="Arial" w:hAnsi="Arial" w:cs="Arial"/>
          <w:highlight w:val="yellow"/>
        </w:rPr>
        <w:br/>
        <w:t>Straße</w:t>
      </w:r>
      <w:r w:rsidRPr="001F640D">
        <w:rPr>
          <w:rFonts w:ascii="Arial" w:hAnsi="Arial" w:cs="Arial"/>
          <w:highlight w:val="yellow"/>
        </w:rPr>
        <w:br/>
        <w:t>PLZ - Ort</w:t>
      </w:r>
    </w:p>
    <w:p w:rsidR="00AC5A9E" w:rsidRDefault="00AC5A9E" w:rsidP="00AC5A9E">
      <w:pPr>
        <w:pStyle w:val="StandardWeb"/>
        <w:shd w:val="clear" w:color="auto" w:fill="FCFCFC"/>
        <w:spacing w:before="240" w:beforeAutospacing="0" w:after="240" w:afterAutospacing="0"/>
        <w:textAlignment w:val="baseline"/>
        <w:rPr>
          <w:rFonts w:ascii="Arial" w:hAnsi="Arial" w:cs="Arial"/>
          <w:color w:val="333333"/>
        </w:rPr>
      </w:pPr>
    </w:p>
    <w:p w:rsidR="00AC5A9E" w:rsidRPr="001F640D" w:rsidRDefault="00AC5A9E" w:rsidP="00AC5A9E">
      <w:pPr>
        <w:pStyle w:val="StandardWeb"/>
        <w:shd w:val="clear" w:color="auto" w:fill="FCFCFC"/>
        <w:spacing w:before="240" w:beforeAutospacing="0" w:after="240" w:afterAutospacing="0"/>
        <w:textAlignment w:val="baseline"/>
        <w:rPr>
          <w:rFonts w:ascii="Arial" w:hAnsi="Arial" w:cs="Arial"/>
          <w:color w:val="333333"/>
          <w:sz w:val="22"/>
          <w:szCs w:val="22"/>
        </w:rPr>
      </w:pPr>
    </w:p>
    <w:p w:rsidR="00AC5A9E" w:rsidRPr="00AC5A9E" w:rsidRDefault="00AC5A9E" w:rsidP="00AC5A9E">
      <w:pPr>
        <w:pStyle w:val="StandardWeb"/>
        <w:shd w:val="clear" w:color="auto" w:fill="FCFCFC"/>
        <w:spacing w:before="240" w:beforeAutospacing="0" w:after="240" w:afterAutospacing="0"/>
        <w:textAlignment w:val="baseline"/>
        <w:rPr>
          <w:rFonts w:ascii="Arial" w:hAnsi="Arial" w:cs="Arial"/>
          <w:sz w:val="22"/>
          <w:szCs w:val="22"/>
        </w:rPr>
      </w:pPr>
      <w:r w:rsidRPr="00AC5A9E">
        <w:rPr>
          <w:rFonts w:ascii="Arial" w:hAnsi="Arial" w:cs="Arial"/>
          <w:sz w:val="22"/>
          <w:szCs w:val="22"/>
        </w:rPr>
        <w:t>Bezirksregierung Arnsberg</w:t>
      </w:r>
      <w:r w:rsidRPr="00AC5A9E">
        <w:rPr>
          <w:rFonts w:ascii="Arial" w:hAnsi="Arial" w:cs="Arial"/>
          <w:sz w:val="22"/>
          <w:szCs w:val="22"/>
        </w:rPr>
        <w:br/>
        <w:t>Dezernat 32</w:t>
      </w:r>
      <w:r w:rsidRPr="00AC5A9E">
        <w:rPr>
          <w:rFonts w:ascii="Arial" w:hAnsi="Arial" w:cs="Arial"/>
          <w:sz w:val="22"/>
          <w:szCs w:val="22"/>
        </w:rPr>
        <w:br/>
        <w:t>– Regionalentwicklung –</w:t>
      </w:r>
      <w:r w:rsidRPr="00AC5A9E">
        <w:rPr>
          <w:rFonts w:ascii="Arial" w:hAnsi="Arial" w:cs="Arial"/>
          <w:sz w:val="22"/>
          <w:szCs w:val="22"/>
        </w:rPr>
        <w:br/>
      </w:r>
      <w:proofErr w:type="spellStart"/>
      <w:r w:rsidRPr="00AC5A9E">
        <w:rPr>
          <w:rFonts w:ascii="Arial" w:hAnsi="Arial" w:cs="Arial"/>
          <w:sz w:val="22"/>
          <w:szCs w:val="22"/>
        </w:rPr>
        <w:t>Seibertzstraße</w:t>
      </w:r>
      <w:proofErr w:type="spellEnd"/>
      <w:r w:rsidRPr="00AC5A9E">
        <w:rPr>
          <w:rFonts w:ascii="Arial" w:hAnsi="Arial" w:cs="Arial"/>
          <w:sz w:val="22"/>
          <w:szCs w:val="22"/>
        </w:rPr>
        <w:t xml:space="preserve"> 2</w:t>
      </w:r>
      <w:r w:rsidRPr="00AC5A9E">
        <w:rPr>
          <w:rFonts w:ascii="Arial" w:hAnsi="Arial" w:cs="Arial"/>
          <w:sz w:val="22"/>
          <w:szCs w:val="22"/>
        </w:rPr>
        <w:br/>
        <w:t>59821 Arnsberg</w:t>
      </w:r>
    </w:p>
    <w:p w:rsidR="00AC5A9E" w:rsidRDefault="00AC5A9E" w:rsidP="00AC5A9E">
      <w:pPr>
        <w:pStyle w:val="StandardWeb"/>
        <w:shd w:val="clear" w:color="auto" w:fill="FCFCFC"/>
        <w:spacing w:before="240" w:beforeAutospacing="0" w:after="240" w:afterAutospacing="0"/>
        <w:textAlignment w:val="baseline"/>
        <w:rPr>
          <w:rFonts w:ascii="Arial" w:hAnsi="Arial" w:cs="Arial"/>
          <w:color w:val="333333"/>
        </w:rPr>
      </w:pPr>
      <w:r>
        <w:rPr>
          <w:rFonts w:ascii="Arial" w:hAnsi="Arial" w:cs="Arial"/>
          <w:color w:val="333333"/>
        </w:rPr>
        <w:t> </w:t>
      </w:r>
    </w:p>
    <w:p w:rsidR="00AC5A9E" w:rsidRPr="001F640D" w:rsidRDefault="00AC5A9E" w:rsidP="00AC5A9E">
      <w:pPr>
        <w:spacing w:after="0"/>
        <w:rPr>
          <w:rFonts w:ascii="Arial" w:hAnsi="Arial" w:cs="Arial"/>
          <w:b/>
          <w:bCs/>
        </w:rPr>
      </w:pPr>
      <w:r w:rsidRPr="001F640D">
        <w:rPr>
          <w:rFonts w:ascii="Arial" w:hAnsi="Arial" w:cs="Arial"/>
          <w:b/>
          <w:bCs/>
        </w:rPr>
        <w:t xml:space="preserve">Einwendung zum Regionalplan Umweltbericht zur Neuaufstellung des Regionalplanes Arnsberg Räumlicher </w:t>
      </w:r>
      <w:proofErr w:type="spellStart"/>
      <w:r w:rsidRPr="001F640D">
        <w:rPr>
          <w:rFonts w:ascii="Arial" w:hAnsi="Arial" w:cs="Arial"/>
          <w:b/>
          <w:bCs/>
        </w:rPr>
        <w:t>Teilplan</w:t>
      </w:r>
      <w:proofErr w:type="spellEnd"/>
      <w:r w:rsidRPr="001F640D">
        <w:rPr>
          <w:rFonts w:ascii="Arial" w:hAnsi="Arial" w:cs="Arial"/>
          <w:b/>
          <w:bCs/>
        </w:rPr>
        <w:t xml:space="preserve"> Märkischer Kreis, Kreis Olpe, Kreis Siegen-Wittgenstein</w:t>
      </w:r>
    </w:p>
    <w:p w:rsidR="00AC5A9E" w:rsidRPr="001F640D" w:rsidRDefault="00AC5A9E" w:rsidP="00AC5A9E">
      <w:pPr>
        <w:spacing w:after="0"/>
        <w:rPr>
          <w:rFonts w:ascii="Arial" w:hAnsi="Arial" w:cs="Arial"/>
          <w:b/>
        </w:rPr>
      </w:pPr>
      <w:r w:rsidRPr="001F640D">
        <w:rPr>
          <w:rFonts w:ascii="Arial" w:hAnsi="Arial" w:cs="Arial"/>
          <w:b/>
          <w:bCs/>
        </w:rPr>
        <w:t>Hier:</w:t>
      </w:r>
      <w:r w:rsidRPr="001F640D">
        <w:rPr>
          <w:rFonts w:ascii="Arial" w:hAnsi="Arial" w:cs="Arial"/>
        </w:rPr>
        <w:tab/>
      </w:r>
      <w:r w:rsidRPr="001F640D">
        <w:rPr>
          <w:rFonts w:ascii="Arial" w:hAnsi="Arial" w:cs="Arial"/>
          <w:b/>
          <w:bCs/>
        </w:rPr>
        <w:t>Steckbriefe zur Festlegung von Windenergiebereichen (WEB)</w:t>
      </w:r>
    </w:p>
    <w:p w:rsidR="00AC5A9E" w:rsidRPr="001F640D" w:rsidRDefault="00AC5A9E" w:rsidP="00AC5A9E">
      <w:pPr>
        <w:spacing w:after="0"/>
        <w:ind w:firstLine="708"/>
        <w:rPr>
          <w:rFonts w:ascii="Arial" w:hAnsi="Arial" w:cs="Arial"/>
          <w:b/>
          <w:bCs/>
        </w:rPr>
      </w:pPr>
      <w:r w:rsidRPr="001F640D">
        <w:rPr>
          <w:rFonts w:ascii="Arial" w:hAnsi="Arial" w:cs="Arial"/>
          <w:b/>
          <w:bCs/>
        </w:rPr>
        <w:t>WEB 36 (Olpe_09.06.WEB.001)</w:t>
      </w:r>
      <w:r w:rsidRPr="001F640D">
        <w:rPr>
          <w:rFonts w:ascii="Arial" w:hAnsi="Arial" w:cs="Arial"/>
          <w:b/>
          <w:bCs/>
        </w:rPr>
        <w:tab/>
      </w:r>
      <w:r w:rsidRPr="001F640D">
        <w:rPr>
          <w:rFonts w:ascii="Arial" w:hAnsi="Arial" w:cs="Arial"/>
          <w:b/>
          <w:bCs/>
        </w:rPr>
        <w:tab/>
        <w:t>WEB 37 (Olpe_09.06.WEB.002)</w:t>
      </w:r>
    </w:p>
    <w:p w:rsidR="00AC5A9E" w:rsidRPr="001F640D" w:rsidRDefault="00AC5A9E" w:rsidP="00AC5A9E">
      <w:pPr>
        <w:spacing w:after="0"/>
        <w:ind w:firstLine="708"/>
        <w:rPr>
          <w:rFonts w:ascii="Arial" w:hAnsi="Arial" w:cs="Arial"/>
          <w:b/>
          <w:bCs/>
        </w:rPr>
      </w:pPr>
      <w:r w:rsidRPr="001F640D">
        <w:rPr>
          <w:rFonts w:ascii="Arial" w:hAnsi="Arial" w:cs="Arial"/>
          <w:b/>
          <w:bCs/>
        </w:rPr>
        <w:t>WEB 40_1 (Olpe_09.06.WEB.003)</w:t>
      </w:r>
      <w:r w:rsidRPr="001F640D">
        <w:rPr>
          <w:rFonts w:ascii="Arial" w:hAnsi="Arial" w:cs="Arial"/>
          <w:b/>
          <w:bCs/>
        </w:rPr>
        <w:tab/>
      </w:r>
      <w:r w:rsidRPr="001F640D">
        <w:rPr>
          <w:rFonts w:ascii="Arial" w:hAnsi="Arial" w:cs="Arial"/>
          <w:b/>
          <w:bCs/>
        </w:rPr>
        <w:tab/>
        <w:t>WEB 40_2 (Olpe_09.06.WEB.004)</w:t>
      </w:r>
    </w:p>
    <w:p w:rsidR="00AC5A9E" w:rsidRPr="001F640D" w:rsidRDefault="00AC5A9E" w:rsidP="00AC5A9E">
      <w:pPr>
        <w:spacing w:after="0"/>
        <w:ind w:firstLine="708"/>
        <w:rPr>
          <w:rFonts w:ascii="Arial" w:hAnsi="Arial" w:cs="Arial"/>
          <w:b/>
          <w:bCs/>
        </w:rPr>
      </w:pPr>
      <w:r w:rsidRPr="001F640D">
        <w:rPr>
          <w:rFonts w:ascii="Arial" w:hAnsi="Arial" w:cs="Arial"/>
          <w:b/>
          <w:bCs/>
        </w:rPr>
        <w:t>WEB 59_1 (Kreuztal 10.06.WEB.001)</w:t>
      </w:r>
      <w:r w:rsidRPr="001F640D">
        <w:rPr>
          <w:rFonts w:ascii="Arial" w:hAnsi="Arial" w:cs="Arial"/>
          <w:b/>
          <w:bCs/>
        </w:rPr>
        <w:tab/>
        <w:t>WEB 67 (Drolshagen_09.02.WEB.001)</w:t>
      </w:r>
    </w:p>
    <w:p w:rsidR="00AC5A9E" w:rsidRPr="001F640D" w:rsidRDefault="00AC5A9E" w:rsidP="00AC5A9E">
      <w:pPr>
        <w:spacing w:after="0"/>
        <w:ind w:firstLine="708"/>
        <w:rPr>
          <w:rFonts w:ascii="Arial" w:hAnsi="Arial" w:cs="Arial"/>
          <w:b/>
          <w:bCs/>
        </w:rPr>
      </w:pPr>
      <w:r w:rsidRPr="001F640D">
        <w:rPr>
          <w:rFonts w:ascii="Arial" w:hAnsi="Arial" w:cs="Arial"/>
          <w:b/>
          <w:bCs/>
        </w:rPr>
        <w:t>WEB 71 (Drolshagen, Wenden, Olpe 09.07.WEB.001)</w:t>
      </w:r>
    </w:p>
    <w:p w:rsidR="00AC5A9E" w:rsidRPr="001F640D" w:rsidRDefault="00AC5A9E" w:rsidP="00AC5A9E">
      <w:pPr>
        <w:spacing w:after="0"/>
        <w:rPr>
          <w:rFonts w:ascii="Arial" w:hAnsi="Arial" w:cs="Arial"/>
          <w:b/>
          <w:bCs/>
        </w:rPr>
      </w:pPr>
    </w:p>
    <w:p w:rsidR="00445FAF" w:rsidRDefault="00AC5A9E" w:rsidP="00AC5A9E">
      <w:pPr>
        <w:spacing w:after="0"/>
        <w:rPr>
          <w:rStyle w:val="Fett"/>
          <w:rFonts w:ascii="inherit" w:hAnsi="inherit" w:cs="Arial"/>
          <w:color w:val="333333"/>
          <w:bdr w:val="none" w:sz="0" w:space="0" w:color="auto" w:frame="1"/>
        </w:rPr>
      </w:pPr>
      <w:r w:rsidRPr="001F640D">
        <w:rPr>
          <w:rFonts w:ascii="Arial" w:hAnsi="Arial" w:cs="Arial"/>
          <w:b/>
          <w:bCs/>
          <w:u w:val="single"/>
        </w:rPr>
        <w:t xml:space="preserve">Thema: </w:t>
      </w:r>
      <w:r>
        <w:rPr>
          <w:rFonts w:ascii="Arial" w:hAnsi="Arial" w:cs="Arial"/>
          <w:b/>
          <w:bCs/>
          <w:u w:val="single"/>
        </w:rPr>
        <w:t>Wasserschutzgebiete in Konkurrenz zu WEB</w:t>
      </w:r>
    </w:p>
    <w:p w:rsidR="00445FAF" w:rsidRDefault="00445FAF" w:rsidP="00445FAF">
      <w:pPr>
        <w:pStyle w:val="StandardWeb"/>
        <w:shd w:val="clear" w:color="auto" w:fill="FCFCFC"/>
        <w:spacing w:before="0" w:beforeAutospacing="0" w:after="0" w:afterAutospacing="0"/>
        <w:textAlignment w:val="baseline"/>
        <w:rPr>
          <w:rStyle w:val="Fett"/>
          <w:rFonts w:ascii="inherit" w:hAnsi="inherit" w:cs="Arial"/>
          <w:color w:val="333333"/>
          <w:bdr w:val="none" w:sz="0" w:space="0" w:color="auto" w:frame="1"/>
        </w:rPr>
      </w:pPr>
    </w:p>
    <w:p w:rsidR="00445FAF" w:rsidRPr="00AC5A9E" w:rsidRDefault="00445FAF"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t>Sehr geehrte Damen und Herren,</w:t>
      </w:r>
    </w:p>
    <w:p w:rsidR="00445FAF" w:rsidRPr="00AC5A9E" w:rsidRDefault="00445FAF"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t xml:space="preserve">gegen den Entwurf des Regionalplans Arnsberg – Räumlicher </w:t>
      </w:r>
      <w:proofErr w:type="spellStart"/>
      <w:r w:rsidRPr="00AC5A9E">
        <w:rPr>
          <w:rFonts w:ascii="Arial" w:hAnsi="Arial" w:cs="Arial"/>
          <w:sz w:val="22"/>
        </w:rPr>
        <w:t>Teilplan</w:t>
      </w:r>
      <w:proofErr w:type="spellEnd"/>
      <w:r w:rsidRPr="00AC5A9E">
        <w:rPr>
          <w:rFonts w:ascii="Arial" w:hAnsi="Arial" w:cs="Arial"/>
          <w:sz w:val="22"/>
        </w:rPr>
        <w:t xml:space="preserve"> Kreis Olpe, lege ich hiermit frist- und formgemäß Widerspruch ein und begründe diesen wie folgt:</w:t>
      </w:r>
    </w:p>
    <w:p w:rsidR="00445FAF" w:rsidRPr="00AC5A9E" w:rsidRDefault="00AC5A9E"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t xml:space="preserve">Die ausgewiesenen WEB überschneiden sich mit </w:t>
      </w:r>
      <w:r w:rsidR="000D7F2D" w:rsidRPr="00AC5A9E">
        <w:rPr>
          <w:rFonts w:ascii="Arial" w:hAnsi="Arial" w:cs="Arial"/>
          <w:sz w:val="22"/>
        </w:rPr>
        <w:t>Wasserschutzgebiete</w:t>
      </w:r>
      <w:r w:rsidRPr="00AC5A9E">
        <w:rPr>
          <w:rFonts w:ascii="Arial" w:hAnsi="Arial" w:cs="Arial"/>
          <w:sz w:val="22"/>
        </w:rPr>
        <w:t>n</w:t>
      </w:r>
      <w:r w:rsidR="000D7F2D" w:rsidRPr="00AC5A9E">
        <w:rPr>
          <w:rFonts w:ascii="Arial" w:hAnsi="Arial" w:cs="Arial"/>
          <w:sz w:val="22"/>
        </w:rPr>
        <w:t xml:space="preserve"> Zonen I, II und III</w:t>
      </w:r>
      <w:r w:rsidRPr="00AC5A9E">
        <w:rPr>
          <w:rFonts w:ascii="Arial" w:hAnsi="Arial" w:cs="Arial"/>
          <w:sz w:val="22"/>
        </w:rPr>
        <w:t>. Dies trifft auf die Bereiche A</w:t>
      </w:r>
      <w:r w:rsidR="004005C9" w:rsidRPr="00AC5A9E">
        <w:rPr>
          <w:rFonts w:ascii="Arial" w:hAnsi="Arial" w:cs="Arial"/>
          <w:sz w:val="22"/>
        </w:rPr>
        <w:t>m Rothen Stein</w:t>
      </w:r>
      <w:r w:rsidRPr="00AC5A9E">
        <w:rPr>
          <w:rFonts w:ascii="Arial" w:hAnsi="Arial" w:cs="Arial"/>
          <w:sz w:val="22"/>
        </w:rPr>
        <w:t xml:space="preserve"> bei Rehringhausen und Auf dem </w:t>
      </w:r>
      <w:proofErr w:type="spellStart"/>
      <w:r w:rsidRPr="00AC5A9E">
        <w:rPr>
          <w:rFonts w:ascii="Arial" w:hAnsi="Arial" w:cs="Arial"/>
          <w:sz w:val="22"/>
        </w:rPr>
        <w:t>Huppen</w:t>
      </w:r>
      <w:proofErr w:type="spellEnd"/>
      <w:r w:rsidRPr="00AC5A9E">
        <w:rPr>
          <w:rFonts w:ascii="Arial" w:hAnsi="Arial" w:cs="Arial"/>
          <w:sz w:val="22"/>
        </w:rPr>
        <w:t xml:space="preserve"> bei Hillmicke zu.</w:t>
      </w:r>
      <w:r w:rsidR="00445FAF" w:rsidRPr="00AC5A9E">
        <w:rPr>
          <w:rFonts w:ascii="Arial" w:hAnsi="Arial" w:cs="Arial"/>
          <w:sz w:val="22"/>
        </w:rPr>
        <w:t xml:space="preserve"> </w:t>
      </w:r>
      <w:r w:rsidR="00445FAF" w:rsidRPr="00AC5A9E">
        <w:rPr>
          <w:rFonts w:ascii="Arial" w:hAnsi="Arial" w:cs="Arial"/>
          <w:b/>
          <w:sz w:val="22"/>
        </w:rPr>
        <w:t>D</w:t>
      </w:r>
      <w:r w:rsidR="004005C9" w:rsidRPr="00AC5A9E">
        <w:rPr>
          <w:rFonts w:ascii="Arial" w:hAnsi="Arial" w:cs="Arial"/>
          <w:b/>
          <w:sz w:val="22"/>
        </w:rPr>
        <w:t>as</w:t>
      </w:r>
      <w:r w:rsidR="00445FAF" w:rsidRPr="00AC5A9E">
        <w:rPr>
          <w:rFonts w:ascii="Arial" w:hAnsi="Arial" w:cs="Arial"/>
          <w:b/>
          <w:sz w:val="22"/>
        </w:rPr>
        <w:t xml:space="preserve"> </w:t>
      </w:r>
      <w:r w:rsidR="004005C9" w:rsidRPr="00AC5A9E">
        <w:rPr>
          <w:rFonts w:ascii="Arial" w:hAnsi="Arial" w:cs="Arial"/>
          <w:b/>
          <w:sz w:val="22"/>
        </w:rPr>
        <w:t>Wasserschutzgebiet ist</w:t>
      </w:r>
      <w:r w:rsidR="00445FAF" w:rsidRPr="00AC5A9E">
        <w:rPr>
          <w:rFonts w:ascii="Arial" w:hAnsi="Arial" w:cs="Arial"/>
          <w:b/>
          <w:sz w:val="22"/>
        </w:rPr>
        <w:t xml:space="preserve"> ohne Befreiung Tabuzone</w:t>
      </w:r>
      <w:r w:rsidR="00445FAF" w:rsidRPr="00AC5A9E">
        <w:rPr>
          <w:rFonts w:ascii="Arial" w:hAnsi="Arial" w:cs="Arial"/>
          <w:sz w:val="22"/>
        </w:rPr>
        <w:t>.</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Fonts w:ascii="Arial" w:hAnsi="Arial" w:cs="Arial"/>
          <w:sz w:val="22"/>
        </w:rPr>
        <w:t xml:space="preserve">Das bedeutet laut Windenergie-Erlass 8.2.3.2, dass die Wasserbehörde in jedem Fall zu prüfen und zu gewährleisten hat, dass sowohl die Qualität als auch die Quantität des Trinkwassers in </w:t>
      </w:r>
      <w:proofErr w:type="spellStart"/>
      <w:r w:rsidRPr="00AC5A9E">
        <w:rPr>
          <w:rFonts w:ascii="Arial" w:hAnsi="Arial" w:cs="Arial"/>
          <w:sz w:val="22"/>
        </w:rPr>
        <w:t>keinster</w:t>
      </w:r>
      <w:proofErr w:type="spellEnd"/>
      <w:r w:rsidRPr="00AC5A9E">
        <w:rPr>
          <w:rFonts w:ascii="Arial" w:hAnsi="Arial" w:cs="Arial"/>
          <w:sz w:val="22"/>
        </w:rPr>
        <w:t xml:space="preserve"> Weise beeinflusst wird. Dies muss belegbar nachgewiesen werden. Zitat aus dem Windenergie-Erlass: </w:t>
      </w:r>
      <w:r w:rsidRPr="00AC5A9E">
        <w:rPr>
          <w:rStyle w:val="Hervorhebung"/>
          <w:rFonts w:ascii="Arial" w:hAnsi="Arial" w:cs="Arial"/>
          <w:sz w:val="22"/>
          <w:bdr w:val="none" w:sz="0" w:space="0" w:color="auto" w:frame="1"/>
        </w:rPr>
        <w:t>“Bei der Prüfung, ob eine Befreiung erteilt werden kann, sind wegen der überragenden Bedeutung des Grundwassers zur Sicherstellung der öffentlichen Trinkwasserversorgung strenge Maßstäbe anzulegen.”</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Fonts w:ascii="Arial" w:hAnsi="Arial" w:cs="Arial"/>
          <w:sz w:val="22"/>
        </w:rPr>
        <w:t>Weitere Zitate aus dem Windenergie-Erlass (</w:t>
      </w:r>
      <w:r w:rsidRPr="00AC5A9E">
        <w:rPr>
          <w:rStyle w:val="Hervorhebung"/>
          <w:rFonts w:ascii="Arial" w:hAnsi="Arial" w:cs="Arial"/>
          <w:sz w:val="22"/>
          <w:bdr w:val="none" w:sz="0" w:space="0" w:color="auto" w:frame="1"/>
        </w:rPr>
        <w:t>jeweils kursiv gedruckt</w:t>
      </w:r>
      <w:r w:rsidRPr="00AC5A9E">
        <w:rPr>
          <w:rFonts w:ascii="Arial" w:hAnsi="Arial" w:cs="Arial"/>
          <w:sz w:val="22"/>
        </w:rPr>
        <w:t>):</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Style w:val="Hervorhebung"/>
          <w:rFonts w:ascii="Arial" w:hAnsi="Arial" w:cs="Arial"/>
          <w:sz w:val="22"/>
          <w:bdr w:val="none" w:sz="0" w:space="0" w:color="auto" w:frame="1"/>
        </w:rPr>
        <w:t xml:space="preserve">„Die WSZ II hat den Schutz vor Verunreinigungen durch den Eintrag von pathogenen Keimen und abbaubaren Stoffen (sowie erst recht von persistenten Stoffen) sicherzustellen. …Bei den Verboten ist maßgeblich, dass der </w:t>
      </w:r>
      <w:proofErr w:type="spellStart"/>
      <w:r w:rsidRPr="00AC5A9E">
        <w:rPr>
          <w:rStyle w:val="Hervorhebung"/>
          <w:rFonts w:ascii="Arial" w:hAnsi="Arial" w:cs="Arial"/>
          <w:sz w:val="22"/>
          <w:bdr w:val="none" w:sz="0" w:space="0" w:color="auto" w:frame="1"/>
        </w:rPr>
        <w:t>Fließweg</w:t>
      </w:r>
      <w:proofErr w:type="spellEnd"/>
      <w:r w:rsidRPr="00AC5A9E">
        <w:rPr>
          <w:rStyle w:val="Hervorhebung"/>
          <w:rFonts w:ascii="Arial" w:hAnsi="Arial" w:cs="Arial"/>
          <w:sz w:val="22"/>
          <w:bdr w:val="none" w:sz="0" w:space="0" w:color="auto" w:frame="1"/>
        </w:rPr>
        <w:t xml:space="preserve"> innerhalb dieser Zone bis zum Erreichen des Brunnens für einen Rückbau/Abbau der Kontamination durch diese Stoffe nicht ausreichend ist und daher jede Besorgnis, dass diese Stoffe eingetragen werden, ausgeschlossen werden muss. … bereits die Errichtung gewerblicher Anlagen allgemeiner Art in WSZ II in der Regel ein hohes und in der Regel nicht tolerierbares Gefährdungspotential für das Trinkwasser dar und wird daher in WSZ II vieler Schutzgebietsverordnungen allgemein verboten.”</w:t>
      </w:r>
    </w:p>
    <w:p w:rsidR="00445FAF" w:rsidRPr="00AC5A9E" w:rsidRDefault="00445FAF"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lastRenderedPageBreak/>
        <w:t>Im Erlass steht</w:t>
      </w:r>
      <w:r w:rsidR="00AC5A9E">
        <w:rPr>
          <w:rFonts w:ascii="Arial" w:hAnsi="Arial" w:cs="Arial"/>
          <w:sz w:val="22"/>
        </w:rPr>
        <w:t>,</w:t>
      </w:r>
      <w:r w:rsidRPr="00AC5A9E">
        <w:rPr>
          <w:rFonts w:ascii="Arial" w:hAnsi="Arial" w:cs="Arial"/>
          <w:sz w:val="22"/>
        </w:rPr>
        <w:t xml:space="preserve"> da</w:t>
      </w:r>
      <w:r w:rsidR="00AC5A9E">
        <w:rPr>
          <w:rFonts w:ascii="Arial" w:hAnsi="Arial" w:cs="Arial"/>
          <w:sz w:val="22"/>
        </w:rPr>
        <w:t>s</w:t>
      </w:r>
      <w:bookmarkStart w:id="0" w:name="_GoBack"/>
      <w:bookmarkEnd w:id="0"/>
      <w:r w:rsidRPr="00AC5A9E">
        <w:rPr>
          <w:rFonts w:ascii="Arial" w:hAnsi="Arial" w:cs="Arial"/>
          <w:sz w:val="22"/>
        </w:rPr>
        <w:t xml:space="preserve">s Wasserschutzgebiete schlechthin als ungeeignet angezeigt werden. Die </w:t>
      </w:r>
      <w:r w:rsidR="00AC5A9E" w:rsidRPr="00AC5A9E">
        <w:rPr>
          <w:rFonts w:ascii="Arial" w:hAnsi="Arial" w:cs="Arial"/>
          <w:sz w:val="22"/>
        </w:rPr>
        <w:t xml:space="preserve">betroffenen </w:t>
      </w:r>
      <w:r w:rsidRPr="00AC5A9E">
        <w:rPr>
          <w:rFonts w:ascii="Arial" w:hAnsi="Arial" w:cs="Arial"/>
          <w:sz w:val="22"/>
        </w:rPr>
        <w:t>Kommune</w:t>
      </w:r>
      <w:r w:rsidR="00AC5A9E" w:rsidRPr="00AC5A9E">
        <w:rPr>
          <w:rFonts w:ascii="Arial" w:hAnsi="Arial" w:cs="Arial"/>
          <w:sz w:val="22"/>
        </w:rPr>
        <w:t>n mü</w:t>
      </w:r>
      <w:r w:rsidRPr="00AC5A9E">
        <w:rPr>
          <w:rFonts w:ascii="Arial" w:hAnsi="Arial" w:cs="Arial"/>
          <w:sz w:val="22"/>
        </w:rPr>
        <w:t>ss</w:t>
      </w:r>
      <w:r w:rsidR="00AC5A9E" w:rsidRPr="00AC5A9E">
        <w:rPr>
          <w:rFonts w:ascii="Arial" w:hAnsi="Arial" w:cs="Arial"/>
          <w:sz w:val="22"/>
        </w:rPr>
        <w:t>en</w:t>
      </w:r>
      <w:r w:rsidRPr="00AC5A9E">
        <w:rPr>
          <w:rFonts w:ascii="Arial" w:hAnsi="Arial" w:cs="Arial"/>
          <w:sz w:val="22"/>
        </w:rPr>
        <w:t xml:space="preserve"> laut Windenergie-Erlass eine Befreiung bei der Unteren Wasserbehörde beantragen. Es gilt zu prüfen, ob das passiert ist.</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Style w:val="Hervorhebung"/>
          <w:rFonts w:ascii="Arial" w:hAnsi="Arial" w:cs="Arial"/>
          <w:sz w:val="22"/>
          <w:bdr w:val="none" w:sz="0" w:space="0" w:color="auto" w:frame="1"/>
        </w:rPr>
        <w:t>„Im Regelfall ist jedoch davon auszugehen, dass eine solche Befreiung nicht erteilt werden kann“.</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Style w:val="Hervorhebung"/>
          <w:rFonts w:ascii="Arial" w:hAnsi="Arial" w:cs="Arial"/>
          <w:sz w:val="22"/>
          <w:bdr w:val="none" w:sz="0" w:space="0" w:color="auto" w:frame="1"/>
        </w:rPr>
        <w:t>„Überwiegende Gründe des Wohls der Allgemeinheit liegen nicht allein deshalb vor, weil eine Windenergieanlage regenerativen Strom erzeugt.“</w:t>
      </w:r>
    </w:p>
    <w:p w:rsidR="00445FAF" w:rsidRPr="00AC5A9E" w:rsidRDefault="00445FAF" w:rsidP="00445FAF">
      <w:pPr>
        <w:pStyle w:val="StandardWeb"/>
        <w:shd w:val="clear" w:color="auto" w:fill="FCFCFC"/>
        <w:spacing w:before="0" w:beforeAutospacing="0" w:after="0" w:afterAutospacing="0"/>
        <w:textAlignment w:val="baseline"/>
        <w:rPr>
          <w:rFonts w:ascii="Arial" w:hAnsi="Arial" w:cs="Arial"/>
          <w:sz w:val="22"/>
        </w:rPr>
      </w:pPr>
      <w:r w:rsidRPr="00AC5A9E">
        <w:rPr>
          <w:rFonts w:ascii="Arial" w:hAnsi="Arial" w:cs="Arial"/>
          <w:sz w:val="22"/>
        </w:rPr>
        <w:t>Hinweis auf hydro-geologische Prüfung im Windenergie-Erlass: </w:t>
      </w:r>
      <w:r w:rsidRPr="00AC5A9E">
        <w:rPr>
          <w:rStyle w:val="Hervorhebung"/>
          <w:rFonts w:ascii="Arial" w:hAnsi="Arial" w:cs="Arial"/>
          <w:sz w:val="22"/>
          <w:bdr w:val="none" w:sz="0" w:space="0" w:color="auto" w:frame="1"/>
        </w:rPr>
        <w:t>“…. dass die Schutz- und Reinigungsfunktion der Deckschichten und wasserführenden Schichten trotz der Durchführung der Baumaßnahme gewahrt bleibt”</w:t>
      </w:r>
      <w:r w:rsidRPr="00AC5A9E">
        <w:rPr>
          <w:rFonts w:ascii="Arial" w:hAnsi="Arial" w:cs="Arial"/>
          <w:sz w:val="22"/>
        </w:rPr>
        <w:t>. … </w:t>
      </w:r>
      <w:r w:rsidRPr="00AC5A9E">
        <w:rPr>
          <w:rStyle w:val="Hervorhebung"/>
          <w:rFonts w:ascii="Arial" w:hAnsi="Arial" w:cs="Arial"/>
          <w:sz w:val="22"/>
          <w:bdr w:val="none" w:sz="0" w:space="0" w:color="auto" w:frame="1"/>
        </w:rPr>
        <w:t>“Im Grundsatz muss die Einzelfallprüfung vorgenommen werden.”</w:t>
      </w:r>
    </w:p>
    <w:p w:rsidR="00445FAF" w:rsidRPr="00AC5A9E" w:rsidRDefault="00445FAF"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t>All dies ist im Vorfeld zu prüfen und zu belegen.</w:t>
      </w:r>
    </w:p>
    <w:p w:rsidR="00445FAF" w:rsidRPr="00AC5A9E" w:rsidRDefault="00445FAF" w:rsidP="00445FAF">
      <w:pPr>
        <w:pStyle w:val="StandardWeb"/>
        <w:shd w:val="clear" w:color="auto" w:fill="FCFCFC"/>
        <w:spacing w:before="240" w:beforeAutospacing="0" w:after="240" w:afterAutospacing="0"/>
        <w:textAlignment w:val="baseline"/>
        <w:rPr>
          <w:rFonts w:ascii="Arial" w:hAnsi="Arial" w:cs="Arial"/>
          <w:sz w:val="22"/>
        </w:rPr>
      </w:pPr>
      <w:r w:rsidRPr="00AC5A9E">
        <w:rPr>
          <w:rFonts w:ascii="Arial" w:hAnsi="Arial" w:cs="Arial"/>
          <w:sz w:val="22"/>
        </w:rPr>
        <w:t>Mit freundlichen Grüßen</w:t>
      </w:r>
    </w:p>
    <w:p w:rsidR="00D41961" w:rsidRPr="00AC5A9E" w:rsidRDefault="00AC5A9E">
      <w:pPr>
        <w:rPr>
          <w:rFonts w:ascii="Arial" w:hAnsi="Arial"/>
        </w:rPr>
      </w:pPr>
    </w:p>
    <w:sectPr w:rsidR="00D41961" w:rsidRPr="00AC5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AF"/>
    <w:rsid w:val="00027E17"/>
    <w:rsid w:val="00080A53"/>
    <w:rsid w:val="000D7F2D"/>
    <w:rsid w:val="004005C9"/>
    <w:rsid w:val="00445FAF"/>
    <w:rsid w:val="0087586D"/>
    <w:rsid w:val="00AC5A9E"/>
    <w:rsid w:val="00D54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03CBC-2CC7-484F-B090-AE06D74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5F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45FAF"/>
    <w:rPr>
      <w:b/>
      <w:bCs/>
    </w:rPr>
  </w:style>
  <w:style w:type="character" w:styleId="Hervorhebung">
    <w:name w:val="Emphasis"/>
    <w:basedOn w:val="Absatz-Standardschriftart"/>
    <w:uiPriority w:val="20"/>
    <w:qFormat/>
    <w:rsid w:val="00445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24C26-4169-4A79-A1B2-DA0E6F46B555}"/>
</file>

<file path=customXml/itemProps2.xml><?xml version="1.0" encoding="utf-8"?>
<ds:datastoreItem xmlns:ds="http://schemas.openxmlformats.org/officeDocument/2006/customXml" ds:itemID="{2FB66B18-44E6-4E58-8E6C-D4329C32039C}"/>
</file>

<file path=customXml/itemProps3.xml><?xml version="1.0" encoding="utf-8"?>
<ds:datastoreItem xmlns:ds="http://schemas.openxmlformats.org/officeDocument/2006/customXml" ds:itemID="{2A9D3E0F-57A8-4341-94EF-F070E6C6C43B}"/>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jurai</dc:creator>
  <cp:keywords/>
  <dc:description/>
  <cp:lastModifiedBy>jurai</cp:lastModifiedBy>
  <cp:revision>2</cp:revision>
  <dcterms:created xsi:type="dcterms:W3CDTF">2021-06-06T20:07:00Z</dcterms:created>
  <dcterms:modified xsi:type="dcterms:W3CDTF">2021-06-06T20:07:00Z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